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BE32" w14:textId="77777777" w:rsidR="00315A21" w:rsidRPr="00315A21" w:rsidRDefault="00315A21" w:rsidP="00315A21">
      <w:pPr>
        <w:spacing w:before="320" w:after="320" w:line="240" w:lineRule="auto"/>
        <w:rPr>
          <w:rFonts w:ascii="Calibri" w:eastAsia="Times New Roman" w:hAnsi="Calibri" w:cs="Calibri"/>
          <w:color w:val="21262B"/>
          <w:sz w:val="29"/>
          <w:szCs w:val="29"/>
          <w:lang w:eastAsia="ru-RU"/>
        </w:rPr>
      </w:pPr>
      <w:r w:rsidRPr="00315A21">
        <w:rPr>
          <w:rFonts w:ascii="Calibri" w:eastAsia="Times New Roman" w:hAnsi="Calibri" w:cs="Calibri"/>
          <w:b/>
          <w:bCs/>
          <w:color w:val="21262B"/>
          <w:sz w:val="29"/>
          <w:szCs w:val="29"/>
          <w:lang w:eastAsia="ru-RU"/>
        </w:rPr>
        <w:t>В соответствии с пунктом 2 раздела 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04.05.2012 № 442, ограничение режима потребления электрической энергии потребителей (за исключением потребителей коммунальной услуги по электроснабжению) вводится при наступлении любого из следующих обстоятельств:</w:t>
      </w:r>
    </w:p>
    <w:p w14:paraId="07414FC5" w14:textId="684F2C63" w:rsidR="00315A21" w:rsidRPr="00315A21" w:rsidRDefault="00315A21" w:rsidP="00315A21">
      <w:pPr>
        <w:numPr>
          <w:ilvl w:val="0"/>
          <w:numId w:val="1"/>
        </w:numPr>
        <w:spacing w:after="0" w:line="240" w:lineRule="auto"/>
        <w:ind w:left="0"/>
        <w:rPr>
          <w:rFonts w:ascii="Calibri" w:eastAsia="Times New Roman" w:hAnsi="Calibri" w:cs="Calibri"/>
          <w:color w:val="21262B"/>
          <w:sz w:val="29"/>
          <w:szCs w:val="29"/>
          <w:lang w:eastAsia="ru-RU"/>
        </w:rPr>
      </w:pPr>
      <w:r w:rsidRPr="00315A21">
        <w:rPr>
          <w:rFonts w:ascii="Calibri" w:eastAsia="Times New Roman" w:hAnsi="Calibri" w:cs="Calibri"/>
          <w:color w:val="21262B"/>
          <w:sz w:val="29"/>
          <w:szCs w:val="29"/>
          <w:lang w:eastAsia="ru-RU"/>
        </w:rPr>
        <w:t> </w:t>
      </w:r>
      <w:r>
        <w:rPr>
          <w:rFonts w:ascii="Calibri" w:eastAsia="Times New Roman" w:hAnsi="Calibri" w:cs="Calibri"/>
          <w:color w:val="21262B"/>
          <w:sz w:val="29"/>
          <w:szCs w:val="29"/>
          <w:lang w:eastAsia="ru-RU"/>
        </w:rPr>
        <w:t>П</w:t>
      </w:r>
      <w:r w:rsidRPr="00315A21">
        <w:rPr>
          <w:rFonts w:ascii="Calibri" w:eastAsia="Times New Roman" w:hAnsi="Calibri" w:cs="Calibri"/>
          <w:color w:val="21262B"/>
          <w:sz w:val="29"/>
          <w:szCs w:val="29"/>
          <w:lang w:eastAsia="ru-RU"/>
        </w:rPr>
        <w:t>олучение законного требования судебного пристава-исполнителя о введении ограничения режима потребления;</w:t>
      </w:r>
    </w:p>
    <w:p w14:paraId="6F9DF69B" w14:textId="3F805C7F" w:rsidR="00315A21" w:rsidRPr="00315A21" w:rsidRDefault="00315A21" w:rsidP="00315A21">
      <w:pPr>
        <w:numPr>
          <w:ilvl w:val="0"/>
          <w:numId w:val="1"/>
        </w:numPr>
        <w:spacing w:after="320" w:line="240" w:lineRule="auto"/>
        <w:ind w:left="0"/>
        <w:rPr>
          <w:rFonts w:ascii="Calibri" w:eastAsia="Times New Roman" w:hAnsi="Calibri" w:cs="Calibri"/>
          <w:color w:val="21262B"/>
          <w:sz w:val="29"/>
          <w:szCs w:val="29"/>
          <w:lang w:eastAsia="ru-RU"/>
        </w:rPr>
      </w:pPr>
      <w:r>
        <w:rPr>
          <w:rFonts w:ascii="Calibri" w:eastAsia="Times New Roman" w:hAnsi="Calibri" w:cs="Calibri"/>
          <w:color w:val="21262B"/>
          <w:sz w:val="29"/>
          <w:szCs w:val="29"/>
          <w:lang w:eastAsia="ru-RU"/>
        </w:rPr>
        <w:t>Н</w:t>
      </w:r>
      <w:r w:rsidRPr="00315A21">
        <w:rPr>
          <w:rFonts w:ascii="Calibri" w:eastAsia="Times New Roman" w:hAnsi="Calibri" w:cs="Calibri"/>
          <w:color w:val="21262B"/>
          <w:sz w:val="29"/>
          <w:szCs w:val="29"/>
          <w:lang w:eastAsia="ru-RU"/>
        </w:rPr>
        <w:t>арушение потребителем своих обязательств, выразившееся в следующих действиях:</w:t>
      </w:r>
    </w:p>
    <w:p w14:paraId="1A0A8170" w14:textId="77777777" w:rsidR="00315A21" w:rsidRPr="00315A21" w:rsidRDefault="00315A21" w:rsidP="00315A21">
      <w:pPr>
        <w:numPr>
          <w:ilvl w:val="1"/>
          <w:numId w:val="1"/>
        </w:numPr>
        <w:spacing w:after="150" w:line="240" w:lineRule="auto"/>
        <w:ind w:left="0"/>
        <w:rPr>
          <w:rFonts w:ascii="Calibri" w:eastAsia="Times New Roman" w:hAnsi="Calibri" w:cs="Calibri"/>
          <w:color w:val="36383C"/>
          <w:sz w:val="29"/>
          <w:szCs w:val="29"/>
          <w:lang w:eastAsia="ru-RU"/>
        </w:rPr>
      </w:pPr>
      <w:r w:rsidRPr="00315A21">
        <w:rPr>
          <w:rFonts w:ascii="Calibri" w:eastAsia="Times New Roman" w:hAnsi="Calibri" w:cs="Calibri"/>
          <w:color w:val="36383C"/>
          <w:sz w:val="29"/>
          <w:szCs w:val="29"/>
          <w:lang w:eastAsia="ru-RU"/>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по основному обязательству, возникшему из договора энергоснабжения (купли-продажи электрической энергии (мощности)), в том числе обязательству по предварительной оплате электрической энергии (мощности);</w:t>
      </w:r>
    </w:p>
    <w:p w14:paraId="2014532C" w14:textId="77777777" w:rsidR="00315A21" w:rsidRPr="00315A21" w:rsidRDefault="00315A21" w:rsidP="00315A21">
      <w:pPr>
        <w:numPr>
          <w:ilvl w:val="1"/>
          <w:numId w:val="1"/>
        </w:numPr>
        <w:spacing w:before="150" w:after="150" w:line="240" w:lineRule="auto"/>
        <w:ind w:left="0"/>
        <w:rPr>
          <w:rFonts w:ascii="Calibri" w:eastAsia="Times New Roman" w:hAnsi="Calibri" w:cs="Calibri"/>
          <w:color w:val="36383C"/>
          <w:sz w:val="29"/>
          <w:szCs w:val="29"/>
          <w:lang w:eastAsia="ru-RU"/>
        </w:rPr>
      </w:pPr>
      <w:r w:rsidRPr="00315A21">
        <w:rPr>
          <w:rFonts w:ascii="Calibri" w:eastAsia="Times New Roman" w:hAnsi="Calibri" w:cs="Calibri"/>
          <w:color w:val="36383C"/>
          <w:sz w:val="29"/>
          <w:szCs w:val="29"/>
          <w:lang w:eastAsia="ru-RU"/>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14:paraId="46C77C47" w14:textId="77777777" w:rsidR="00315A21" w:rsidRPr="00315A21" w:rsidRDefault="00315A21" w:rsidP="00315A21">
      <w:pPr>
        <w:numPr>
          <w:ilvl w:val="1"/>
          <w:numId w:val="1"/>
        </w:numPr>
        <w:spacing w:before="150" w:after="150" w:line="240" w:lineRule="auto"/>
        <w:ind w:left="0"/>
        <w:rPr>
          <w:rFonts w:ascii="Calibri" w:eastAsia="Times New Roman" w:hAnsi="Calibri" w:cs="Calibri"/>
          <w:color w:val="36383C"/>
          <w:sz w:val="29"/>
          <w:szCs w:val="29"/>
          <w:lang w:eastAsia="ru-RU"/>
        </w:rPr>
      </w:pPr>
      <w:r w:rsidRPr="00315A21">
        <w:rPr>
          <w:rFonts w:ascii="Calibri" w:eastAsia="Times New Roman" w:hAnsi="Calibri" w:cs="Calibri"/>
          <w:color w:val="36383C"/>
          <w:sz w:val="29"/>
          <w:szCs w:val="29"/>
          <w:lang w:eastAsia="ru-RU"/>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14:paraId="6DF77998" w14:textId="77777777" w:rsidR="00315A21" w:rsidRPr="00315A21" w:rsidRDefault="00315A21" w:rsidP="00315A21">
      <w:pPr>
        <w:numPr>
          <w:ilvl w:val="1"/>
          <w:numId w:val="1"/>
        </w:numPr>
        <w:spacing w:before="150" w:after="150" w:line="240" w:lineRule="auto"/>
        <w:ind w:left="0"/>
        <w:rPr>
          <w:rFonts w:ascii="Calibri" w:eastAsia="Times New Roman" w:hAnsi="Calibri" w:cs="Calibri"/>
          <w:color w:val="36383C"/>
          <w:sz w:val="29"/>
          <w:szCs w:val="29"/>
          <w:lang w:eastAsia="ru-RU"/>
        </w:rPr>
      </w:pPr>
      <w:r w:rsidRPr="00315A21">
        <w:rPr>
          <w:rFonts w:ascii="Calibri" w:eastAsia="Times New Roman" w:hAnsi="Calibri" w:cs="Calibri"/>
          <w:color w:val="36383C"/>
          <w:sz w:val="29"/>
          <w:szCs w:val="29"/>
          <w:lang w:eastAsia="ru-RU"/>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w:t>
      </w:r>
      <w:proofErr w:type="spellStart"/>
      <w:r w:rsidRPr="00315A21">
        <w:rPr>
          <w:rFonts w:ascii="Calibri" w:eastAsia="Times New Roman" w:hAnsi="Calibri" w:cs="Calibri"/>
          <w:color w:val="36383C"/>
          <w:sz w:val="29"/>
          <w:szCs w:val="29"/>
          <w:lang w:eastAsia="ru-RU"/>
        </w:rPr>
        <w:t>электропотребляющего</w:t>
      </w:r>
      <w:proofErr w:type="spellEnd"/>
      <w:r w:rsidRPr="00315A21">
        <w:rPr>
          <w:rFonts w:ascii="Calibri" w:eastAsia="Times New Roman" w:hAnsi="Calibri" w:cs="Calibri"/>
          <w:color w:val="36383C"/>
          <w:sz w:val="29"/>
          <w:szCs w:val="29"/>
          <w:lang w:eastAsia="ru-RU"/>
        </w:rPr>
        <w:t xml:space="preserve"> оборудования либо изменением потребителем режима работы подключенного </w:t>
      </w:r>
      <w:proofErr w:type="spellStart"/>
      <w:r w:rsidRPr="00315A21">
        <w:rPr>
          <w:rFonts w:ascii="Calibri" w:eastAsia="Times New Roman" w:hAnsi="Calibri" w:cs="Calibri"/>
          <w:color w:val="36383C"/>
          <w:sz w:val="29"/>
          <w:szCs w:val="29"/>
          <w:lang w:eastAsia="ru-RU"/>
        </w:rPr>
        <w:t>электропотребляющего</w:t>
      </w:r>
      <w:proofErr w:type="spellEnd"/>
      <w:r w:rsidRPr="00315A21">
        <w:rPr>
          <w:rFonts w:ascii="Calibri" w:eastAsia="Times New Roman" w:hAnsi="Calibri" w:cs="Calibri"/>
          <w:color w:val="36383C"/>
          <w:sz w:val="29"/>
          <w:szCs w:val="29"/>
          <w:lang w:eastAsia="ru-RU"/>
        </w:rPr>
        <w:t xml:space="preserve"> оборудования;</w:t>
      </w:r>
    </w:p>
    <w:p w14:paraId="04ADCC71" w14:textId="77777777" w:rsidR="00315A21" w:rsidRDefault="00315A21" w:rsidP="00315A21">
      <w:pPr>
        <w:numPr>
          <w:ilvl w:val="1"/>
          <w:numId w:val="1"/>
        </w:numPr>
        <w:spacing w:before="150" w:after="0" w:line="240" w:lineRule="auto"/>
        <w:ind w:left="0"/>
        <w:rPr>
          <w:rFonts w:ascii="Calibri" w:eastAsia="Times New Roman" w:hAnsi="Calibri" w:cs="Calibri"/>
          <w:color w:val="36383C"/>
          <w:sz w:val="29"/>
          <w:szCs w:val="29"/>
          <w:lang w:eastAsia="ru-RU"/>
        </w:rPr>
      </w:pPr>
      <w:r w:rsidRPr="00315A21">
        <w:rPr>
          <w:rFonts w:ascii="Calibri" w:eastAsia="Times New Roman" w:hAnsi="Calibri" w:cs="Calibri"/>
          <w:color w:val="36383C"/>
          <w:sz w:val="29"/>
          <w:szCs w:val="29"/>
          <w:lang w:eastAsia="ru-RU"/>
        </w:rPr>
        <w:lastRenderedPageBreak/>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14:paraId="187167A0" w14:textId="415BD67F"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hAnsi="Calibri" w:cs="Calibri"/>
          <w:color w:val="21262B"/>
          <w:sz w:val="29"/>
          <w:szCs w:val="29"/>
        </w:rPr>
      </w:pPr>
      <w:r>
        <w:rPr>
          <w:rFonts w:ascii="Calibri" w:eastAsia="Times New Roman" w:hAnsi="Calibri" w:cs="Calibri"/>
          <w:color w:val="21262B"/>
          <w:sz w:val="29"/>
          <w:szCs w:val="29"/>
          <w:lang w:eastAsia="ru-RU"/>
        </w:rPr>
        <w:t>П</w:t>
      </w:r>
      <w:r w:rsidRPr="00315A21">
        <w:rPr>
          <w:rFonts w:ascii="Calibri" w:eastAsia="Times New Roman" w:hAnsi="Calibri" w:cs="Calibri"/>
          <w:color w:val="21262B"/>
          <w:sz w:val="29"/>
          <w:szCs w:val="29"/>
          <w:lang w:eastAsia="ru-RU"/>
        </w:rPr>
        <w:t xml:space="preserve">рекращение обязательств по поставке электрической энергии (мощности) по договору энергоснабжения (купли-продажи электрической </w:t>
      </w:r>
      <w:r w:rsidRPr="00315A21">
        <w:rPr>
          <w:rFonts w:ascii="Calibri" w:hAnsi="Calibri" w:cs="Calibri"/>
          <w:color w:val="21262B"/>
          <w:sz w:val="29"/>
          <w:szCs w:val="29"/>
        </w:rPr>
        <w:t>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14:paraId="37EB7784" w14:textId="7B0C370E"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eastAsia="Times New Roman" w:hAnsi="Calibri" w:cs="Calibri"/>
          <w:color w:val="36383C"/>
          <w:sz w:val="29"/>
          <w:szCs w:val="29"/>
          <w:lang w:eastAsia="ru-RU"/>
        </w:rPr>
      </w:pPr>
      <w:r>
        <w:rPr>
          <w:rFonts w:ascii="Calibri" w:hAnsi="Calibri" w:cs="Calibri"/>
          <w:color w:val="21262B"/>
          <w:sz w:val="29"/>
          <w:szCs w:val="29"/>
        </w:rPr>
        <w:t>В</w:t>
      </w:r>
      <w:r w:rsidRPr="00315A21">
        <w:rPr>
          <w:rFonts w:ascii="Calibri" w:hAnsi="Calibri" w:cs="Calibri"/>
          <w:color w:val="21262B"/>
          <w:sz w:val="29"/>
          <w:szCs w:val="29"/>
        </w:rPr>
        <w:t>ыявление факта бездоговорного потребления электрической энергии;</w:t>
      </w:r>
    </w:p>
    <w:p w14:paraId="02540670" w14:textId="57932B98"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eastAsia="Times New Roman" w:hAnsi="Calibri" w:cs="Calibri"/>
          <w:color w:val="36383C"/>
          <w:sz w:val="29"/>
          <w:szCs w:val="29"/>
          <w:lang w:eastAsia="ru-RU"/>
        </w:rPr>
      </w:pPr>
      <w:r>
        <w:rPr>
          <w:rFonts w:ascii="Calibri" w:hAnsi="Calibri" w:cs="Calibri"/>
          <w:color w:val="21262B"/>
          <w:sz w:val="29"/>
          <w:szCs w:val="29"/>
        </w:rPr>
        <w:t>В</w:t>
      </w:r>
      <w:r w:rsidRPr="00315A21">
        <w:rPr>
          <w:rFonts w:ascii="Calibri" w:hAnsi="Calibri" w:cs="Calibri"/>
          <w:color w:val="21262B"/>
          <w:sz w:val="29"/>
          <w:szCs w:val="29"/>
        </w:rPr>
        <w:t>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договор энергоснабжения (купли-продажи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076BC459" w14:textId="40FB5C8F"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eastAsia="Times New Roman" w:hAnsi="Calibri" w:cs="Calibri"/>
          <w:color w:val="36383C"/>
          <w:sz w:val="29"/>
          <w:szCs w:val="29"/>
          <w:lang w:eastAsia="ru-RU"/>
        </w:rPr>
      </w:pPr>
      <w:r>
        <w:rPr>
          <w:rFonts w:ascii="Calibri" w:hAnsi="Calibri" w:cs="Calibri"/>
          <w:color w:val="21262B"/>
          <w:sz w:val="29"/>
          <w:szCs w:val="29"/>
        </w:rPr>
        <w:t>П</w:t>
      </w:r>
      <w:r w:rsidRPr="00315A21">
        <w:rPr>
          <w:rFonts w:ascii="Calibri" w:hAnsi="Calibri" w:cs="Calibri"/>
          <w:color w:val="21262B"/>
          <w:sz w:val="29"/>
          <w:szCs w:val="29"/>
        </w:rPr>
        <w:t>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r>
        <w:rPr>
          <w:rFonts w:ascii="Calibri" w:hAnsi="Calibri" w:cs="Calibri"/>
          <w:color w:val="21262B"/>
          <w:sz w:val="29"/>
          <w:szCs w:val="29"/>
        </w:rPr>
        <w:t>;</w:t>
      </w:r>
    </w:p>
    <w:p w14:paraId="700F2AAF" w14:textId="48E90422"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eastAsia="Times New Roman" w:hAnsi="Calibri" w:cs="Calibri"/>
          <w:color w:val="36383C"/>
          <w:sz w:val="29"/>
          <w:szCs w:val="29"/>
          <w:lang w:eastAsia="ru-RU"/>
        </w:rPr>
      </w:pPr>
      <w:r>
        <w:rPr>
          <w:rFonts w:ascii="Calibri" w:hAnsi="Calibri" w:cs="Calibri"/>
          <w:color w:val="21262B"/>
          <w:sz w:val="29"/>
          <w:szCs w:val="29"/>
        </w:rPr>
        <w:t>О</w:t>
      </w:r>
      <w:r w:rsidRPr="00315A21">
        <w:rPr>
          <w:rFonts w:ascii="Calibri" w:hAnsi="Calibri" w:cs="Calibri"/>
          <w:color w:val="21262B"/>
          <w:sz w:val="29"/>
          <w:szCs w:val="29"/>
        </w:rPr>
        <w:t>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14:paraId="01417EBD" w14:textId="5DA3D504" w:rsidR="00315A21" w:rsidRPr="00315A21" w:rsidRDefault="00315A21" w:rsidP="00315A21">
      <w:pPr>
        <w:pStyle w:val="a5"/>
        <w:numPr>
          <w:ilvl w:val="0"/>
          <w:numId w:val="1"/>
        </w:numPr>
        <w:tabs>
          <w:tab w:val="clear" w:pos="501"/>
          <w:tab w:val="num" w:pos="142"/>
        </w:tabs>
        <w:spacing w:before="150" w:after="0" w:line="240" w:lineRule="auto"/>
        <w:ind w:left="0" w:hanging="284"/>
        <w:rPr>
          <w:rFonts w:ascii="Calibri" w:eastAsia="Times New Roman" w:hAnsi="Calibri" w:cs="Calibri"/>
          <w:color w:val="36383C"/>
          <w:sz w:val="29"/>
          <w:szCs w:val="29"/>
          <w:lang w:eastAsia="ru-RU"/>
        </w:rPr>
      </w:pPr>
      <w:r>
        <w:rPr>
          <w:rFonts w:ascii="Calibri" w:hAnsi="Calibri" w:cs="Calibri"/>
          <w:color w:val="21262B"/>
          <w:sz w:val="29"/>
          <w:szCs w:val="29"/>
        </w:rPr>
        <w:t>В</w:t>
      </w:r>
      <w:r w:rsidRPr="00315A21">
        <w:rPr>
          <w:rFonts w:ascii="Calibri" w:hAnsi="Calibri" w:cs="Calibri"/>
          <w:color w:val="21262B"/>
          <w:sz w:val="29"/>
          <w:szCs w:val="29"/>
        </w:rPr>
        <w:t>озникновение (угроза возникновения) аварийных электроэнергетических режимов;</w:t>
      </w:r>
    </w:p>
    <w:p w14:paraId="178FD08E" w14:textId="66D91FBC" w:rsidR="00315A21" w:rsidRPr="00315A21" w:rsidRDefault="00315A21" w:rsidP="00315A21">
      <w:pPr>
        <w:pStyle w:val="a5"/>
        <w:numPr>
          <w:ilvl w:val="0"/>
          <w:numId w:val="1"/>
        </w:numPr>
        <w:tabs>
          <w:tab w:val="clear" w:pos="501"/>
          <w:tab w:val="num" w:pos="142"/>
        </w:tabs>
        <w:spacing w:before="150" w:after="0" w:line="240" w:lineRule="auto"/>
        <w:ind w:left="0"/>
        <w:rPr>
          <w:rFonts w:ascii="Calibri" w:eastAsia="Times New Roman" w:hAnsi="Calibri" w:cs="Calibri"/>
          <w:color w:val="36383C"/>
          <w:sz w:val="29"/>
          <w:szCs w:val="29"/>
          <w:lang w:eastAsia="ru-RU"/>
        </w:rPr>
      </w:pPr>
      <w:r>
        <w:rPr>
          <w:rFonts w:ascii="Calibri" w:hAnsi="Calibri" w:cs="Calibri"/>
          <w:color w:val="21262B"/>
          <w:sz w:val="29"/>
          <w:szCs w:val="29"/>
        </w:rPr>
        <w:t>Н</w:t>
      </w:r>
      <w:r w:rsidRPr="00315A21">
        <w:rPr>
          <w:rFonts w:ascii="Calibri" w:hAnsi="Calibri" w:cs="Calibri"/>
          <w:color w:val="21262B"/>
          <w:sz w:val="29"/>
          <w:szCs w:val="29"/>
        </w:rPr>
        <w:t xml:space="preserve">еобходимость проведения ремонтных работ на объектах электросетевого хозяйства сетевой организации, к которым присоединены </w:t>
      </w:r>
      <w:r w:rsidRPr="00315A21">
        <w:rPr>
          <w:rFonts w:ascii="Calibri" w:hAnsi="Calibri" w:cs="Calibri"/>
          <w:color w:val="21262B"/>
          <w:sz w:val="29"/>
          <w:szCs w:val="29"/>
        </w:rPr>
        <w:lastRenderedPageBreak/>
        <w:t>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14:paraId="18CDB278" w14:textId="3DDD6E04" w:rsidR="00315A21" w:rsidRDefault="00315A21" w:rsidP="00315A21">
      <w:pPr>
        <w:pStyle w:val="a3"/>
        <w:spacing w:before="320" w:beforeAutospacing="0" w:after="320" w:afterAutospacing="0"/>
        <w:rPr>
          <w:rStyle w:val="a4"/>
          <w:rFonts w:ascii="Calibri" w:hAnsi="Calibri" w:cs="Calibri"/>
          <w:color w:val="21262B"/>
          <w:sz w:val="29"/>
          <w:szCs w:val="29"/>
        </w:rPr>
      </w:pPr>
      <w:r>
        <w:rPr>
          <w:rStyle w:val="a4"/>
          <w:rFonts w:ascii="Calibri" w:hAnsi="Calibri" w:cs="Calibri"/>
          <w:color w:val="21262B"/>
          <w:sz w:val="29"/>
          <w:szCs w:val="29"/>
        </w:rPr>
        <w:t>В соответствии с разделом XI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ограничение или приостановление предоставления коммунальных услуг без предварительного уведомления потребителя осуществляется в случае:</w:t>
      </w:r>
    </w:p>
    <w:p w14:paraId="5B2E17F2" w14:textId="461D4C7A" w:rsidR="00315A21" w:rsidRDefault="00315A21" w:rsidP="00315A21">
      <w:pPr>
        <w:pStyle w:val="a3"/>
        <w:numPr>
          <w:ilvl w:val="0"/>
          <w:numId w:val="3"/>
        </w:numPr>
        <w:spacing w:before="0" w:beforeAutospacing="0" w:after="0" w:afterAutospacing="0"/>
        <w:ind w:left="0"/>
        <w:rPr>
          <w:rFonts w:ascii="Calibri" w:hAnsi="Calibri" w:cs="Calibri"/>
          <w:color w:val="21262B"/>
          <w:sz w:val="29"/>
          <w:szCs w:val="29"/>
        </w:rPr>
      </w:pPr>
      <w:r>
        <w:rPr>
          <w:rFonts w:ascii="Calibri" w:hAnsi="Calibri" w:cs="Calibri"/>
          <w:color w:val="21262B"/>
          <w:sz w:val="29"/>
          <w:szCs w:val="29"/>
        </w:rPr>
        <w:t>В</w:t>
      </w:r>
      <w:r>
        <w:rPr>
          <w:rFonts w:ascii="Calibri" w:hAnsi="Calibri" w:cs="Calibri"/>
          <w:color w:val="21262B"/>
          <w:sz w:val="29"/>
          <w:szCs w:val="29"/>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12598B57" w14:textId="783A292A" w:rsidR="00315A21" w:rsidRDefault="00315A21" w:rsidP="00315A21">
      <w:pPr>
        <w:pStyle w:val="a3"/>
        <w:numPr>
          <w:ilvl w:val="0"/>
          <w:numId w:val="3"/>
        </w:numPr>
        <w:spacing w:before="0" w:beforeAutospacing="0" w:after="0" w:afterAutospacing="0"/>
        <w:ind w:left="0"/>
        <w:rPr>
          <w:rFonts w:ascii="Calibri" w:hAnsi="Calibri" w:cs="Calibri"/>
          <w:color w:val="21262B"/>
          <w:sz w:val="29"/>
          <w:szCs w:val="29"/>
        </w:rPr>
      </w:pPr>
      <w:r>
        <w:rPr>
          <w:rFonts w:ascii="Calibri" w:hAnsi="Calibri" w:cs="Calibri"/>
          <w:color w:val="21262B"/>
          <w:sz w:val="29"/>
          <w:szCs w:val="29"/>
        </w:rPr>
        <w:t>В</w:t>
      </w:r>
      <w:r>
        <w:rPr>
          <w:rFonts w:ascii="Calibri" w:hAnsi="Calibri" w:cs="Calibri"/>
          <w:color w:val="21262B"/>
          <w:sz w:val="29"/>
          <w:szCs w:val="29"/>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104335B7" w14:textId="3A79F8E4" w:rsidR="00315A21" w:rsidRDefault="00315A21" w:rsidP="00315A21">
      <w:pPr>
        <w:pStyle w:val="a3"/>
        <w:numPr>
          <w:ilvl w:val="0"/>
          <w:numId w:val="3"/>
        </w:numPr>
        <w:spacing w:before="0" w:beforeAutospacing="0" w:after="0" w:afterAutospacing="0"/>
        <w:ind w:left="0"/>
        <w:rPr>
          <w:rFonts w:ascii="Calibri" w:hAnsi="Calibri" w:cs="Calibri"/>
          <w:color w:val="21262B"/>
          <w:sz w:val="29"/>
          <w:szCs w:val="29"/>
        </w:rPr>
      </w:pPr>
      <w:r>
        <w:rPr>
          <w:rFonts w:ascii="Calibri" w:hAnsi="Calibri" w:cs="Calibri"/>
          <w:color w:val="21262B"/>
          <w:sz w:val="29"/>
          <w:szCs w:val="29"/>
        </w:rPr>
        <w:t>В</w:t>
      </w:r>
      <w:r>
        <w:rPr>
          <w:rFonts w:ascii="Calibri" w:hAnsi="Calibri" w:cs="Calibri"/>
          <w:color w:val="21262B"/>
          <w:sz w:val="29"/>
          <w:szCs w:val="29"/>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7D706E4A" w14:textId="73F0BAD1" w:rsidR="00315A21" w:rsidRDefault="00315A21" w:rsidP="00315A21">
      <w:pPr>
        <w:pStyle w:val="a3"/>
        <w:numPr>
          <w:ilvl w:val="0"/>
          <w:numId w:val="3"/>
        </w:numPr>
        <w:spacing w:before="0" w:beforeAutospacing="0" w:after="0" w:afterAutospacing="0"/>
        <w:ind w:left="0"/>
        <w:rPr>
          <w:rFonts w:ascii="Calibri" w:hAnsi="Calibri" w:cs="Calibri"/>
          <w:color w:val="21262B"/>
          <w:sz w:val="29"/>
          <w:szCs w:val="29"/>
        </w:rPr>
      </w:pPr>
      <w:r>
        <w:rPr>
          <w:rFonts w:ascii="Calibri" w:hAnsi="Calibri" w:cs="Calibri"/>
          <w:color w:val="21262B"/>
          <w:sz w:val="29"/>
          <w:szCs w:val="29"/>
        </w:rPr>
        <w:t>И</w:t>
      </w:r>
      <w:r>
        <w:rPr>
          <w:rFonts w:ascii="Calibri" w:hAnsi="Calibri" w:cs="Calibri"/>
          <w:color w:val="21262B"/>
          <w:sz w:val="29"/>
          <w:szCs w:val="29"/>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5D4411A7" w14:textId="7B3F26A0" w:rsidR="00315A21" w:rsidRDefault="00315A21" w:rsidP="00315A21">
      <w:pPr>
        <w:pStyle w:val="a3"/>
        <w:numPr>
          <w:ilvl w:val="0"/>
          <w:numId w:val="3"/>
        </w:numPr>
        <w:spacing w:before="0" w:beforeAutospacing="0" w:after="0" w:afterAutospacing="0"/>
        <w:ind w:left="0"/>
        <w:rPr>
          <w:rFonts w:ascii="Calibri" w:hAnsi="Calibri" w:cs="Calibri"/>
          <w:color w:val="21262B"/>
          <w:sz w:val="29"/>
          <w:szCs w:val="29"/>
        </w:rPr>
      </w:pPr>
      <w:r>
        <w:rPr>
          <w:rFonts w:ascii="Calibri" w:hAnsi="Calibri" w:cs="Calibri"/>
          <w:color w:val="21262B"/>
          <w:sz w:val="29"/>
          <w:szCs w:val="29"/>
        </w:rPr>
        <w:t>П</w:t>
      </w:r>
      <w:r>
        <w:rPr>
          <w:rFonts w:ascii="Calibri" w:hAnsi="Calibri" w:cs="Calibri"/>
          <w:color w:val="21262B"/>
          <w:sz w:val="29"/>
          <w:szCs w:val="29"/>
        </w:rPr>
        <w:t xml:space="preserve">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w:t>
      </w:r>
      <w:r>
        <w:rPr>
          <w:rFonts w:ascii="Calibri" w:hAnsi="Calibri" w:cs="Calibri"/>
          <w:color w:val="21262B"/>
          <w:sz w:val="29"/>
          <w:szCs w:val="29"/>
        </w:rPr>
        <w:lastRenderedPageBreak/>
        <w:t>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4712819C" w14:textId="77777777" w:rsidR="00315A21" w:rsidRDefault="00315A21" w:rsidP="00315A21">
      <w:pPr>
        <w:pStyle w:val="a3"/>
        <w:spacing w:before="320" w:beforeAutospacing="0" w:after="320" w:afterAutospacing="0"/>
        <w:rPr>
          <w:rFonts w:ascii="Calibri" w:hAnsi="Calibri" w:cs="Calibri"/>
          <w:color w:val="21262B"/>
          <w:sz w:val="29"/>
          <w:szCs w:val="29"/>
        </w:rPr>
      </w:pPr>
      <w:r>
        <w:rPr>
          <w:rStyle w:val="a4"/>
          <w:rFonts w:ascii="Calibri" w:hAnsi="Calibri" w:cs="Calibri"/>
          <w:color w:val="21262B"/>
          <w:sz w:val="29"/>
          <w:szCs w:val="29"/>
        </w:rPr>
        <w:t>В соответствии с разделом XI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ограничение или приостановление предоставления коммунальных услуг осуществляется, предварительно уведомив об этом потребителя, в случае:</w:t>
      </w:r>
    </w:p>
    <w:p w14:paraId="2C0328BF" w14:textId="4A874460" w:rsidR="00315A21" w:rsidRDefault="00315A21" w:rsidP="00315A21">
      <w:pPr>
        <w:pStyle w:val="a3"/>
        <w:numPr>
          <w:ilvl w:val="0"/>
          <w:numId w:val="5"/>
        </w:numPr>
        <w:spacing w:before="0" w:beforeAutospacing="0" w:after="0" w:afterAutospacing="0"/>
        <w:ind w:left="0" w:hanging="284"/>
        <w:rPr>
          <w:rFonts w:ascii="Calibri" w:hAnsi="Calibri" w:cs="Calibri"/>
          <w:color w:val="21262B"/>
          <w:sz w:val="29"/>
          <w:szCs w:val="29"/>
        </w:rPr>
      </w:pPr>
      <w:r>
        <w:rPr>
          <w:rFonts w:ascii="Calibri" w:hAnsi="Calibri" w:cs="Calibri"/>
          <w:color w:val="21262B"/>
          <w:sz w:val="29"/>
          <w:szCs w:val="29"/>
        </w:rPr>
        <w:t>Н</w:t>
      </w:r>
      <w:r>
        <w:rPr>
          <w:rFonts w:ascii="Calibri" w:hAnsi="Calibri" w:cs="Calibri"/>
          <w:color w:val="21262B"/>
          <w:sz w:val="29"/>
          <w:szCs w:val="29"/>
        </w:rPr>
        <w:t>еполной оплаты потребителем коммунальной услуги — через 20 дней после доставки потребителю предупреждения (уведомления).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ООО «Уралэнергосбыт» соглашения о погашении задолженности и (или) при невыполнении потребителем-должником условий такого соглашения;</w:t>
      </w:r>
    </w:p>
    <w:p w14:paraId="40B9B020" w14:textId="0F3E3B95" w:rsidR="00315A21" w:rsidRPr="00315A21" w:rsidRDefault="00315A21" w:rsidP="00315A21">
      <w:pPr>
        <w:pStyle w:val="a3"/>
        <w:numPr>
          <w:ilvl w:val="0"/>
          <w:numId w:val="5"/>
        </w:numPr>
        <w:spacing w:before="0" w:beforeAutospacing="0" w:after="0" w:afterAutospacing="0"/>
        <w:ind w:left="0" w:hanging="284"/>
        <w:rPr>
          <w:rFonts w:ascii="Calibri" w:hAnsi="Calibri" w:cs="Calibri"/>
          <w:color w:val="21262B"/>
          <w:sz w:val="29"/>
          <w:szCs w:val="29"/>
        </w:rPr>
      </w:pPr>
      <w:r>
        <w:rPr>
          <w:rFonts w:ascii="Calibri" w:hAnsi="Calibri" w:cs="Calibri"/>
          <w:color w:val="21262B"/>
          <w:sz w:val="29"/>
          <w:szCs w:val="29"/>
        </w:rPr>
        <w:t>П</w:t>
      </w:r>
      <w:r>
        <w:rPr>
          <w:rFonts w:ascii="Calibri" w:hAnsi="Calibri" w:cs="Calibri"/>
          <w:color w:val="21262B"/>
          <w:sz w:val="29"/>
          <w:szCs w:val="29"/>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w:t>
      </w:r>
      <w:bookmarkStart w:id="0" w:name="_GoBack"/>
      <w:bookmarkEnd w:id="0"/>
      <w:r>
        <w:rPr>
          <w:rFonts w:ascii="Calibri" w:hAnsi="Calibri" w:cs="Calibri"/>
          <w:color w:val="21262B"/>
          <w:sz w:val="29"/>
          <w:szCs w:val="29"/>
        </w:rPr>
        <w:t>сьменного предупреждения (уведомления) потребителя.</w:t>
      </w:r>
    </w:p>
    <w:p w14:paraId="72D2641F" w14:textId="77777777" w:rsidR="00315A21" w:rsidRPr="00315A21" w:rsidRDefault="00315A21" w:rsidP="00315A21">
      <w:pPr>
        <w:pStyle w:val="a3"/>
        <w:spacing w:before="320" w:beforeAutospacing="0" w:after="320" w:afterAutospacing="0"/>
        <w:rPr>
          <w:rFonts w:ascii="Calibri" w:hAnsi="Calibri" w:cs="Calibri"/>
          <w:color w:val="21262B"/>
          <w:sz w:val="29"/>
          <w:szCs w:val="29"/>
        </w:rPr>
      </w:pPr>
    </w:p>
    <w:p w14:paraId="4EEAD453" w14:textId="77777777" w:rsidR="00AE70C1" w:rsidRDefault="00AE70C1"/>
    <w:sectPr w:rsidR="00AE7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4B1"/>
    <w:multiLevelType w:val="multilevel"/>
    <w:tmpl w:val="5B7C1F7E"/>
    <w:lvl w:ilvl="0">
      <w:start w:val="1"/>
      <w:numFmt w:val="decimal"/>
      <w:lvlText w:val="%1."/>
      <w:lvlJc w:val="left"/>
      <w:pPr>
        <w:tabs>
          <w:tab w:val="num" w:pos="501"/>
        </w:tabs>
        <w:ind w:left="501"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93EA3"/>
    <w:multiLevelType w:val="multilevel"/>
    <w:tmpl w:val="8D38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26F2A"/>
    <w:multiLevelType w:val="multilevel"/>
    <w:tmpl w:val="B910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E1707"/>
    <w:multiLevelType w:val="hybridMultilevel"/>
    <w:tmpl w:val="5844B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CD0245"/>
    <w:multiLevelType w:val="multilevel"/>
    <w:tmpl w:val="9660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19"/>
    <w:rsid w:val="00315A21"/>
    <w:rsid w:val="00AE70C1"/>
    <w:rsid w:val="00E0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BFDA"/>
  <w15:chartTrackingRefBased/>
  <w15:docId w15:val="{9ACA3A7E-B087-4D3A-9133-D9C67979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5A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5A21"/>
    <w:rPr>
      <w:b/>
      <w:bCs/>
    </w:rPr>
  </w:style>
  <w:style w:type="paragraph" w:styleId="a5">
    <w:name w:val="List Paragraph"/>
    <w:basedOn w:val="a"/>
    <w:uiPriority w:val="34"/>
    <w:qFormat/>
    <w:rsid w:val="0031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77267">
      <w:bodyDiv w:val="1"/>
      <w:marLeft w:val="0"/>
      <w:marRight w:val="0"/>
      <w:marTop w:val="0"/>
      <w:marBottom w:val="0"/>
      <w:divBdr>
        <w:top w:val="none" w:sz="0" w:space="0" w:color="auto"/>
        <w:left w:val="none" w:sz="0" w:space="0" w:color="auto"/>
        <w:bottom w:val="none" w:sz="0" w:space="0" w:color="auto"/>
        <w:right w:val="none" w:sz="0" w:space="0" w:color="auto"/>
      </w:divBdr>
    </w:div>
    <w:div w:id="1205170853">
      <w:bodyDiv w:val="1"/>
      <w:marLeft w:val="0"/>
      <w:marRight w:val="0"/>
      <w:marTop w:val="0"/>
      <w:marBottom w:val="0"/>
      <w:divBdr>
        <w:top w:val="none" w:sz="0" w:space="0" w:color="auto"/>
        <w:left w:val="none" w:sz="0" w:space="0" w:color="auto"/>
        <w:bottom w:val="none" w:sz="0" w:space="0" w:color="auto"/>
        <w:right w:val="none" w:sz="0" w:space="0" w:color="auto"/>
      </w:divBdr>
    </w:div>
    <w:div w:id="1731880493">
      <w:bodyDiv w:val="1"/>
      <w:marLeft w:val="0"/>
      <w:marRight w:val="0"/>
      <w:marTop w:val="0"/>
      <w:marBottom w:val="0"/>
      <w:divBdr>
        <w:top w:val="none" w:sz="0" w:space="0" w:color="auto"/>
        <w:left w:val="none" w:sz="0" w:space="0" w:color="auto"/>
        <w:bottom w:val="none" w:sz="0" w:space="0" w:color="auto"/>
        <w:right w:val="none" w:sz="0" w:space="0" w:color="auto"/>
      </w:divBdr>
    </w:div>
    <w:div w:id="17676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1296</Words>
  <Characters>7393</Characters>
  <Application>Microsoft Office Word</Application>
  <DocSecurity>0</DocSecurity>
  <Lines>61</Lines>
  <Paragraphs>17</Paragraphs>
  <ScaleCrop>false</ScaleCrop>
  <Company>Уралэнергосбыт</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Юлия Владимировна</dc:creator>
  <cp:keywords/>
  <dc:description/>
  <cp:lastModifiedBy>Борисова Юлия Владимировна</cp:lastModifiedBy>
  <cp:revision>2</cp:revision>
  <dcterms:created xsi:type="dcterms:W3CDTF">2020-07-21T17:53:00Z</dcterms:created>
  <dcterms:modified xsi:type="dcterms:W3CDTF">2020-07-21T17:58:00Z</dcterms:modified>
</cp:coreProperties>
</file>